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E12" w:rsidRDefault="00B82E1B" w:rsidP="00406E12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52AD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inline distT="0" distB="0" distL="0" distR="0" wp14:anchorId="07B65154" wp14:editId="785AA6F4">
            <wp:extent cx="5760720" cy="843280"/>
            <wp:effectExtent l="0" t="0" r="0" b="0"/>
            <wp:docPr id="1" name="Obraz 1" descr="C:\Users\barwacz.barbara\Desktop\logo arimr 25 lat_unowocześniamy_bez_tł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wacz.barbara\Desktop\logo arimr 25 lat_unowocześniamy_bez_tł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E1B" w:rsidRDefault="00B82E1B" w:rsidP="00406E12">
      <w:pPr>
        <w:spacing w:after="24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06E12" w:rsidRPr="00406E12" w:rsidRDefault="00406E12" w:rsidP="00406E12">
      <w:pPr>
        <w:spacing w:after="24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06E12">
        <w:rPr>
          <w:rFonts w:ascii="Times New Roman" w:hAnsi="Times New Roman" w:cs="Times New Roman"/>
          <w:b/>
          <w:sz w:val="32"/>
          <w:szCs w:val="32"/>
        </w:rPr>
        <w:t xml:space="preserve">Wsparcie dla rolników: więcej pieniędzy, więcej możliwości, większa dostępność </w:t>
      </w:r>
    </w:p>
    <w:p w:rsidR="00406E12" w:rsidRPr="00406E12" w:rsidRDefault="00406E12" w:rsidP="00406E12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6E12">
        <w:rPr>
          <w:rFonts w:ascii="Times New Roman" w:hAnsi="Times New Roman" w:cs="Times New Roman"/>
          <w:b/>
          <w:sz w:val="24"/>
          <w:szCs w:val="24"/>
        </w:rPr>
        <w:t>Dopłaty obszarowe to nie jedyna ścieżka wsparcia dla rolników. Oferta ARiMR dla mieszkańców wsi jest w tym roku bardzo bogata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06E12">
        <w:rPr>
          <w:rFonts w:ascii="Times New Roman" w:hAnsi="Times New Roman" w:cs="Times New Roman"/>
          <w:b/>
          <w:sz w:val="24"/>
          <w:szCs w:val="24"/>
        </w:rPr>
        <w:t xml:space="preserve">Trwa nabór na modernizację gospodarstw rolnych dla producentów bydła i trzody chlewnej. Od maja rusza kolejne wsparcie na restrukturyzację małych gospodarstw. Podwyższone będą premie dla młodych rolników przejmujących gospodarstwo oraz na dywersyfikację dochodów poprzez rozpoczęcie gospodarczej działalności pozarolniczej. </w:t>
      </w:r>
    </w:p>
    <w:p w:rsidR="00406E12" w:rsidRPr="00406E12" w:rsidRDefault="00406E12" w:rsidP="00406E12">
      <w:pPr>
        <w:pStyle w:val="NormalnyWeb"/>
      </w:pPr>
      <w:r w:rsidRPr="00406E12">
        <w:t xml:space="preserve">Agencja Restrukturyzacji i Modernizacji Rolnictwa wprowadza w tym roku sporo ułatwień i wyższe stawki płatności! Do 27 maja o dotację ubiegają się właściciele dużych gospodarstw, specjalizujących się w hodowli trzody, bydła mięsnego i mlecznego. Po raz pierwszy będą mogli zainwestować nie tylko w budynki gospodarcze, ale także w maszyny niezbędne do produkcji rolnej, zapewniającej paszę dla zwierząt. Kwota dotacji wynosi nawet do 900 tys. zł, w tym na </w:t>
      </w:r>
      <w:proofErr w:type="spellStart"/>
      <w:r w:rsidRPr="00406E12">
        <w:t>dosprzętowienie</w:t>
      </w:r>
      <w:proofErr w:type="spellEnd"/>
      <w:r w:rsidRPr="00406E12">
        <w:t xml:space="preserve"> można wydać 200 tys. zł.   </w:t>
      </w:r>
    </w:p>
    <w:p w:rsidR="00406E12" w:rsidRPr="00406E12" w:rsidRDefault="00406E12" w:rsidP="00406E12">
      <w:pPr>
        <w:pStyle w:val="NormalnyWeb"/>
      </w:pPr>
      <w:r w:rsidRPr="00406E12">
        <w:t>Już na maj planowana jest restrukturyzacja małych gospodarstw bez konieczności wymogu ubezpieczenia w KRUS. Większość naszych rolników gospodaruje na małych areałach, które nie zapewniają wystarczającego do utrzymania rodzin dochodu. Pracują na etatach i są ubezpieczeni w ZUS. Po raz pierwszy i oni będą mogli uzyskać 60 tys. zł wsparcia na rozwój produkcji.</w:t>
      </w:r>
    </w:p>
    <w:p w:rsidR="00406E12" w:rsidRDefault="00406E12" w:rsidP="00406E12">
      <w:pPr>
        <w:rPr>
          <w:rFonts w:ascii="Times New Roman" w:hAnsi="Times New Roman" w:cs="Times New Roman"/>
          <w:sz w:val="24"/>
          <w:szCs w:val="24"/>
        </w:rPr>
      </w:pPr>
      <w:r w:rsidRPr="00406E12">
        <w:rPr>
          <w:rFonts w:ascii="Times New Roman" w:hAnsi="Times New Roman" w:cs="Times New Roman"/>
          <w:sz w:val="24"/>
          <w:szCs w:val="24"/>
        </w:rPr>
        <w:t>Prawdopodobnie także w maju po premię będą mogli zgłaszać się młodzi rolnicy. Tym razem zamiast 100 tys. zł sięgną po premię wyższą o 50 tys. Na małopolskiej wsi mieszka ponad 20 tys. młodych rolników. Z pewnością część z nich czeka już na możliwość wsparcia na rozwój swoich, przejmowanych najczęściej po rodzicach, gospodarstw.  I to nie wszystko! Po wakacjach ARiMR ogłosi nabór na rozpoczęcie działalności pozarolniczej. Będzie można otrzymać aż do 250 tys. zł (podczas, gdy we wcześniejszych naborach kwota pomocy wynosiła 100 tys. zł), a okres zobowiązania do utrzymania tworzonych miejsc pracy zostanie skrócony z 3 do 2 lat od wypłaty II raty pomocy.</w:t>
      </w:r>
    </w:p>
    <w:p w:rsidR="00406E12" w:rsidRDefault="00406E12" w:rsidP="00406E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Szczegółowe informacje </w:t>
      </w:r>
      <w:r w:rsidR="00B82E1B">
        <w:rPr>
          <w:rFonts w:ascii="Times New Roman" w:hAnsi="Times New Roman" w:cs="Times New Roman"/>
          <w:sz w:val="24"/>
          <w:szCs w:val="24"/>
        </w:rPr>
        <w:t xml:space="preserve">na stronie </w:t>
      </w:r>
      <w:hyperlink r:id="rId5" w:history="1">
        <w:r w:rsidR="00B82E1B" w:rsidRPr="006A31E6">
          <w:rPr>
            <w:rStyle w:val="Hipercze"/>
            <w:rFonts w:ascii="Times New Roman" w:hAnsi="Times New Roman" w:cs="Times New Roman"/>
            <w:sz w:val="24"/>
            <w:szCs w:val="24"/>
          </w:rPr>
          <w:t>www.arimr.gov.pl</w:t>
        </w:r>
      </w:hyperlink>
      <w:r w:rsidR="00B82E1B">
        <w:rPr>
          <w:rFonts w:ascii="Times New Roman" w:hAnsi="Times New Roman" w:cs="Times New Roman"/>
          <w:sz w:val="24"/>
          <w:szCs w:val="24"/>
        </w:rPr>
        <w:t xml:space="preserve">;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w biurach powiatowych ARiMR oraz na </w:t>
      </w:r>
      <w:hyperlink r:id="rId6" w:history="1">
        <w:r w:rsidRPr="00925820">
          <w:rPr>
            <w:rStyle w:val="Hipercze"/>
            <w:rFonts w:ascii="Times New Roman" w:hAnsi="Times New Roman" w:cs="Times New Roman"/>
            <w:sz w:val="24"/>
            <w:szCs w:val="24"/>
          </w:rPr>
          <w:t>https://www.facebook.com/MalopolskiARiMR</w:t>
        </w:r>
      </w:hyperlink>
    </w:p>
    <w:p w:rsidR="00406E12" w:rsidRPr="00406E12" w:rsidRDefault="00406E12" w:rsidP="00406E12">
      <w:pPr>
        <w:rPr>
          <w:rFonts w:ascii="Times New Roman" w:hAnsi="Times New Roman" w:cs="Times New Roman"/>
          <w:b/>
          <w:sz w:val="24"/>
          <w:szCs w:val="24"/>
        </w:rPr>
      </w:pPr>
    </w:p>
    <w:p w:rsidR="00F846DB" w:rsidRPr="00406E12" w:rsidRDefault="00F846DB">
      <w:pPr>
        <w:rPr>
          <w:rFonts w:ascii="Times New Roman" w:hAnsi="Times New Roman" w:cs="Times New Roman"/>
          <w:sz w:val="24"/>
          <w:szCs w:val="24"/>
        </w:rPr>
      </w:pPr>
    </w:p>
    <w:sectPr w:rsidR="00F846DB" w:rsidRPr="00406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12"/>
    <w:rsid w:val="00406E12"/>
    <w:rsid w:val="00B82E1B"/>
    <w:rsid w:val="00F8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EF7F6-58D5-4BFA-BF78-618C5FEC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E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06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6E1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06E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MalopolskiARiMR" TargetMode="External"/><Relationship Id="rId5" Type="http://schemas.openxmlformats.org/officeDocument/2006/relationships/hyperlink" Target="http://www.arimr.gov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Barwacz-Mikula Barbara</cp:lastModifiedBy>
  <cp:revision>2</cp:revision>
  <dcterms:created xsi:type="dcterms:W3CDTF">2019-04-16T07:03:00Z</dcterms:created>
  <dcterms:modified xsi:type="dcterms:W3CDTF">2019-04-17T08:19:00Z</dcterms:modified>
</cp:coreProperties>
</file>